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71A88" w14:textId="77777777" w:rsidR="00FE79D2" w:rsidRPr="00FE79D2" w:rsidRDefault="00FE79D2" w:rsidP="00FE79D2">
      <w:pPr>
        <w:spacing w:after="0" w:line="240" w:lineRule="auto"/>
        <w:jc w:val="center"/>
        <w:rPr>
          <w:rFonts w:ascii="Times New Roman" w:eastAsia="Times New Roman" w:hAnsi="Times New Roman" w:cs="Times New Roman"/>
          <w:sz w:val="24"/>
          <w:szCs w:val="24"/>
          <w:lang w:val="fr-CA" w:eastAsia="fr-CA"/>
        </w:rPr>
      </w:pPr>
      <w:r w:rsidRPr="00FE79D2">
        <w:rPr>
          <w:rFonts w:ascii="Calibri" w:eastAsia="Times New Roman" w:hAnsi="Calibri" w:cs="Calibri"/>
          <w:b/>
          <w:bCs/>
          <w:color w:val="000000"/>
          <w:sz w:val="28"/>
          <w:szCs w:val="28"/>
          <w:lang w:val="fr-CA" w:eastAsia="fr-CA"/>
        </w:rPr>
        <w:t>École Baril</w:t>
      </w:r>
    </w:p>
    <w:p w14:paraId="2781C2AE" w14:textId="77777777" w:rsidR="00FE79D2" w:rsidRPr="00FE79D2" w:rsidRDefault="00FE79D2" w:rsidP="00FE79D2">
      <w:pPr>
        <w:spacing w:after="0" w:line="240" w:lineRule="auto"/>
        <w:jc w:val="center"/>
        <w:rPr>
          <w:rFonts w:ascii="Times New Roman" w:eastAsia="Times New Roman" w:hAnsi="Times New Roman" w:cs="Times New Roman"/>
          <w:sz w:val="24"/>
          <w:szCs w:val="24"/>
          <w:lang w:val="fr-CA" w:eastAsia="fr-CA"/>
        </w:rPr>
      </w:pPr>
      <w:r w:rsidRPr="00FE79D2">
        <w:rPr>
          <w:rFonts w:ascii="Calibri" w:eastAsia="Times New Roman" w:hAnsi="Calibri" w:cs="Calibri"/>
          <w:b/>
          <w:bCs/>
          <w:color w:val="000000"/>
          <w:sz w:val="28"/>
          <w:szCs w:val="28"/>
          <w:lang w:val="fr-CA" w:eastAsia="fr-CA"/>
        </w:rPr>
        <w:t>2e réunion du Conseil d'établissement 2022-2023</w:t>
      </w:r>
    </w:p>
    <w:p w14:paraId="38164D93" w14:textId="77777777" w:rsidR="00FE79D2" w:rsidRPr="00FE79D2" w:rsidRDefault="00FE79D2" w:rsidP="00FE79D2">
      <w:pPr>
        <w:spacing w:after="0" w:line="240" w:lineRule="auto"/>
        <w:jc w:val="center"/>
        <w:rPr>
          <w:rFonts w:ascii="Times New Roman" w:eastAsia="Times New Roman" w:hAnsi="Times New Roman" w:cs="Times New Roman"/>
          <w:sz w:val="24"/>
          <w:szCs w:val="24"/>
          <w:lang w:val="fr-CA" w:eastAsia="fr-CA"/>
        </w:rPr>
      </w:pPr>
      <w:r w:rsidRPr="00FE79D2">
        <w:rPr>
          <w:rFonts w:ascii="Calibri" w:eastAsia="Times New Roman" w:hAnsi="Calibri" w:cs="Calibri"/>
          <w:b/>
          <w:bCs/>
          <w:color w:val="000000"/>
          <w:sz w:val="28"/>
          <w:szCs w:val="28"/>
          <w:lang w:val="fr-CA" w:eastAsia="fr-CA"/>
        </w:rPr>
        <w:t>Mardi 29 novembre 2022, 18 h 30 (salon du personnel)</w:t>
      </w:r>
    </w:p>
    <w:p w14:paraId="4AAADB5D"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p>
    <w:p w14:paraId="17AE6C42"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b/>
          <w:bCs/>
          <w:color w:val="000000"/>
          <w:sz w:val="28"/>
          <w:szCs w:val="28"/>
          <w:lang w:val="fr-CA" w:eastAsia="fr-CA"/>
        </w:rPr>
        <w:tab/>
        <w:t>Ouverture de la réunion</w:t>
      </w:r>
    </w:p>
    <w:p w14:paraId="197BE1EB"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color w:val="000000"/>
          <w:lang w:val="fr-CA" w:eastAsia="fr-CA"/>
        </w:rPr>
        <w:t xml:space="preserve">Marie-Claude Gourde fait l’ouverture de la réunion à 18 h 30. </w:t>
      </w:r>
      <w:r w:rsidRPr="00FE79D2">
        <w:rPr>
          <w:rFonts w:ascii="Calibri" w:eastAsia="Times New Roman" w:hAnsi="Calibri" w:cs="Calibri"/>
          <w:color w:val="000000"/>
          <w:lang w:val="fr-CA" w:eastAsia="fr-CA"/>
        </w:rPr>
        <w:br/>
      </w:r>
      <w:r w:rsidRPr="00FE79D2">
        <w:rPr>
          <w:rFonts w:ascii="Calibri" w:eastAsia="Times New Roman" w:hAnsi="Calibri" w:cs="Calibri"/>
          <w:color w:val="000000"/>
          <w:lang w:val="fr-CA" w:eastAsia="fr-CA"/>
        </w:rPr>
        <w:br/>
      </w:r>
    </w:p>
    <w:p w14:paraId="4096A1DA" w14:textId="77777777" w:rsidR="00FE79D2" w:rsidRPr="00FE79D2" w:rsidRDefault="00FE79D2" w:rsidP="00FE79D2">
      <w:pPr>
        <w:spacing w:after="0" w:line="240" w:lineRule="auto"/>
        <w:ind w:firstLine="720"/>
        <w:outlineLvl w:val="1"/>
        <w:rPr>
          <w:rFonts w:ascii="Times New Roman" w:eastAsia="Times New Roman" w:hAnsi="Times New Roman" w:cs="Times New Roman"/>
          <w:b/>
          <w:bCs/>
          <w:sz w:val="36"/>
          <w:szCs w:val="36"/>
          <w:lang w:val="fr-CA" w:eastAsia="fr-CA"/>
        </w:rPr>
      </w:pPr>
      <w:r w:rsidRPr="00FE79D2">
        <w:rPr>
          <w:rFonts w:ascii="Calibri" w:eastAsia="Times New Roman" w:hAnsi="Calibri" w:cs="Calibri"/>
          <w:b/>
          <w:bCs/>
          <w:color w:val="000000"/>
          <w:sz w:val="24"/>
          <w:szCs w:val="24"/>
          <w:lang w:val="fr-CA" w:eastAsia="fr-CA"/>
        </w:rPr>
        <w:tab/>
        <w:t>1.1</w:t>
      </w:r>
      <w:r w:rsidRPr="00FE79D2">
        <w:rPr>
          <w:rFonts w:ascii="Calibri" w:eastAsia="Times New Roman" w:hAnsi="Calibri" w:cs="Calibri"/>
          <w:b/>
          <w:bCs/>
          <w:color w:val="000000"/>
          <w:sz w:val="24"/>
          <w:szCs w:val="24"/>
          <w:lang w:val="fr-CA" w:eastAsia="fr-CA"/>
        </w:rPr>
        <w:tab/>
        <w:t>Présences, vérification du quorum</w:t>
      </w:r>
    </w:p>
    <w:p w14:paraId="6DCC0BD9"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color w:val="000000"/>
          <w:lang w:val="fr-CA" w:eastAsia="fr-CA"/>
        </w:rPr>
        <w:t>Le quorum est constaté. </w:t>
      </w:r>
    </w:p>
    <w:p w14:paraId="47EF7400"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p>
    <w:p w14:paraId="4841FAB1"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b/>
          <w:bCs/>
          <w:color w:val="000000"/>
          <w:lang w:val="fr-CA" w:eastAsia="fr-CA"/>
        </w:rPr>
        <w:t>Présences</w:t>
      </w:r>
    </w:p>
    <w:p w14:paraId="263B3836"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color w:val="000000"/>
          <w:lang w:val="fr-CA" w:eastAsia="fr-CA"/>
        </w:rPr>
        <w:t>Élaine Barrette, responsable du Service de garde</w:t>
      </w:r>
    </w:p>
    <w:p w14:paraId="48E83646"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color w:val="000000"/>
          <w:lang w:val="fr-CA" w:eastAsia="fr-CA"/>
        </w:rPr>
        <w:t>Claude Castonguay, parent, membre substitut</w:t>
      </w:r>
    </w:p>
    <w:p w14:paraId="0F770049"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color w:val="000000"/>
          <w:lang w:val="fr-CA" w:eastAsia="fr-CA"/>
        </w:rPr>
        <w:t>Élaine Chouinard, enseignante</w:t>
      </w:r>
    </w:p>
    <w:p w14:paraId="6352B6BA"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color w:val="000000"/>
          <w:lang w:val="fr-CA" w:eastAsia="fr-CA"/>
        </w:rPr>
        <w:t>Jocelyn Côté, directeur</w:t>
      </w:r>
    </w:p>
    <w:p w14:paraId="7738DEF9"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color w:val="000000"/>
          <w:lang w:val="fr-CA" w:eastAsia="fr-CA"/>
        </w:rPr>
        <w:t>Jean-Christophe Damé, parent</w:t>
      </w:r>
    </w:p>
    <w:p w14:paraId="5BCEFBC1"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color w:val="000000"/>
          <w:lang w:val="fr-CA" w:eastAsia="fr-CA"/>
        </w:rPr>
        <w:t>Audrée Favreau-Pinet, parent</w:t>
      </w:r>
    </w:p>
    <w:p w14:paraId="2E9CFA59"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color w:val="000000"/>
          <w:lang w:val="fr-CA" w:eastAsia="fr-CA"/>
        </w:rPr>
        <w:t>Marie-Claude Gourde, parent</w:t>
      </w:r>
    </w:p>
    <w:p w14:paraId="573CFD00"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color w:val="000000"/>
          <w:lang w:val="fr-CA" w:eastAsia="fr-CA"/>
        </w:rPr>
        <w:t>Lyne Lavigne, psychoéducatrice</w:t>
      </w:r>
    </w:p>
    <w:p w14:paraId="59C2CC94"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color w:val="000000"/>
          <w:lang w:val="fr-CA" w:eastAsia="fr-CA"/>
        </w:rPr>
        <w:t>Alexis Lavoie, technicien en éducation spécialisée</w:t>
      </w:r>
    </w:p>
    <w:p w14:paraId="212F32F8"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color w:val="000000"/>
          <w:lang w:val="fr-CA" w:eastAsia="fr-CA"/>
        </w:rPr>
        <w:t>Mathieu Lavoie, parent</w:t>
      </w:r>
    </w:p>
    <w:p w14:paraId="2AC30878"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color w:val="000000"/>
          <w:lang w:val="fr-CA" w:eastAsia="fr-CA"/>
        </w:rPr>
        <w:t>Matthew Legault, parent</w:t>
      </w:r>
    </w:p>
    <w:p w14:paraId="1728BC29"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color w:val="000000"/>
          <w:lang w:val="fr-CA" w:eastAsia="fr-CA"/>
        </w:rPr>
        <w:t>Florence Minette, enseignante</w:t>
      </w:r>
    </w:p>
    <w:p w14:paraId="10C73F33"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color w:val="000000"/>
          <w:lang w:val="fr-CA" w:eastAsia="fr-CA"/>
        </w:rPr>
        <w:t>Catherine Pelletier, parent, membre substitut</w:t>
      </w:r>
    </w:p>
    <w:p w14:paraId="46D033E3"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p>
    <w:p w14:paraId="3C635352"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b/>
          <w:bCs/>
          <w:color w:val="000000"/>
          <w:lang w:val="fr-CA" w:eastAsia="fr-CA"/>
        </w:rPr>
        <w:t>Absences</w:t>
      </w:r>
    </w:p>
    <w:p w14:paraId="4980520C"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color w:val="000000"/>
          <w:lang w:val="fr-CA" w:eastAsia="fr-CA"/>
        </w:rPr>
        <w:t>Mme Caroline Gagnon, membre de la communauté pour Je Passe-Partout</w:t>
      </w:r>
    </w:p>
    <w:p w14:paraId="5AD8675B"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color w:val="000000"/>
          <w:lang w:val="fr-CA" w:eastAsia="fr-CA"/>
        </w:rPr>
        <w:t>Mme Carole Brière, membre de la communauté pour le CCH</w:t>
      </w:r>
    </w:p>
    <w:p w14:paraId="3B01F576"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p>
    <w:p w14:paraId="55327CD1" w14:textId="77777777" w:rsidR="00FE79D2" w:rsidRPr="00FE79D2" w:rsidRDefault="00FE79D2" w:rsidP="00FE79D2">
      <w:pPr>
        <w:spacing w:after="0" w:line="240" w:lineRule="auto"/>
        <w:ind w:firstLine="720"/>
        <w:outlineLvl w:val="1"/>
        <w:rPr>
          <w:rFonts w:ascii="Times New Roman" w:eastAsia="Times New Roman" w:hAnsi="Times New Roman" w:cs="Times New Roman"/>
          <w:b/>
          <w:bCs/>
          <w:sz w:val="36"/>
          <w:szCs w:val="36"/>
          <w:lang w:val="fr-CA" w:eastAsia="fr-CA"/>
        </w:rPr>
      </w:pPr>
      <w:r w:rsidRPr="00FE79D2">
        <w:rPr>
          <w:rFonts w:ascii="Calibri" w:eastAsia="Times New Roman" w:hAnsi="Calibri" w:cs="Calibri"/>
          <w:b/>
          <w:bCs/>
          <w:color w:val="000000"/>
          <w:sz w:val="24"/>
          <w:szCs w:val="24"/>
          <w:lang w:val="fr-CA" w:eastAsia="fr-CA"/>
        </w:rPr>
        <w:tab/>
        <w:t>1.2</w:t>
      </w:r>
      <w:r w:rsidRPr="00FE79D2">
        <w:rPr>
          <w:rFonts w:ascii="Calibri" w:eastAsia="Times New Roman" w:hAnsi="Calibri" w:cs="Calibri"/>
          <w:b/>
          <w:bCs/>
          <w:color w:val="000000"/>
          <w:sz w:val="24"/>
          <w:szCs w:val="24"/>
          <w:lang w:val="fr-CA" w:eastAsia="fr-CA"/>
        </w:rPr>
        <w:tab/>
        <w:t>Remise des déclarations d’intérêts signées</w:t>
      </w:r>
    </w:p>
    <w:p w14:paraId="0CEB4CAC"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color w:val="000000"/>
          <w:lang w:val="fr-CA" w:eastAsia="fr-CA"/>
        </w:rPr>
        <w:t>Il manque quelques déclarations signées d’intérêts signées. Il faut les rendre à Jocelyn Côté dès que possible.</w:t>
      </w:r>
    </w:p>
    <w:p w14:paraId="39E927CB"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p>
    <w:p w14:paraId="40A87142"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b/>
          <w:bCs/>
          <w:color w:val="000000"/>
          <w:sz w:val="28"/>
          <w:szCs w:val="28"/>
          <w:lang w:val="fr-CA" w:eastAsia="fr-CA"/>
        </w:rPr>
        <w:t>2. Lecture et adoption de l’ordre du jour (adoption)</w:t>
      </w:r>
    </w:p>
    <w:p w14:paraId="190DDB01"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color w:val="000000"/>
          <w:lang w:val="fr-CA" w:eastAsia="fr-CA"/>
        </w:rPr>
        <w:t>Marie-Claude Gourde lit l’ordre du jour. Comme les membres de la communauté sont absentes pour cause de vacances et de maladie, on propose de modifier le point 4 par le point Varia; deux points y sont également ajoutés. Élaine Chouinard propose l’adoption de l’ordre du jour tel que modifié. Matthew Legault appuie.</w:t>
      </w:r>
    </w:p>
    <w:p w14:paraId="439769AA"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p>
    <w:p w14:paraId="22BD705B"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b/>
          <w:bCs/>
          <w:color w:val="000000"/>
          <w:sz w:val="28"/>
          <w:szCs w:val="28"/>
          <w:lang w:val="fr-CA" w:eastAsia="fr-CA"/>
        </w:rPr>
        <w:t>3. Lecture et adoption du PV de la rencontre du 25 octobre (adoption)</w:t>
      </w:r>
    </w:p>
    <w:p w14:paraId="588C257B"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color w:val="000000"/>
          <w:lang w:val="fr-CA" w:eastAsia="fr-CA"/>
        </w:rPr>
        <w:t>Élaine C. propose l’adoption du PV du 25 octobre. Élaine Barrette appuie. Deux points de suivis sont amenés de la part de Jocelyn Côté.</w:t>
      </w:r>
    </w:p>
    <w:p w14:paraId="1386B208"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Times New Roman" w:eastAsia="Times New Roman" w:hAnsi="Times New Roman" w:cs="Times New Roman"/>
          <w:sz w:val="24"/>
          <w:szCs w:val="24"/>
          <w:lang w:val="fr-CA" w:eastAsia="fr-CA"/>
        </w:rPr>
        <w:br/>
      </w:r>
    </w:p>
    <w:p w14:paraId="3168A849" w14:textId="77777777" w:rsidR="00FE79D2" w:rsidRPr="00FE79D2" w:rsidRDefault="00FE79D2" w:rsidP="00FE79D2">
      <w:pPr>
        <w:numPr>
          <w:ilvl w:val="0"/>
          <w:numId w:val="1"/>
        </w:numPr>
        <w:spacing w:after="0" w:line="240" w:lineRule="auto"/>
        <w:textAlignment w:val="baseline"/>
        <w:rPr>
          <w:rFonts w:ascii="Calibri" w:eastAsia="Times New Roman" w:hAnsi="Calibri" w:cs="Calibri"/>
          <w:color w:val="000000"/>
          <w:lang w:val="fr-CA" w:eastAsia="fr-CA"/>
        </w:rPr>
      </w:pPr>
      <w:r w:rsidRPr="00FE79D2">
        <w:rPr>
          <w:rFonts w:ascii="Calibri" w:eastAsia="Times New Roman" w:hAnsi="Calibri" w:cs="Calibri"/>
          <w:color w:val="000000"/>
          <w:lang w:val="fr-CA" w:eastAsia="fr-CA"/>
        </w:rPr>
        <w:t>Pour le Comité de parents du CSSDM, il n’est pas possible de faire une rotation des représentants ou des représentantes. Il faudrait que la personne démissionne à chacun des CÉ et qu’on réélise quelqu’un d’autre pour la remplacer.</w:t>
      </w:r>
    </w:p>
    <w:p w14:paraId="170CC805" w14:textId="77777777" w:rsidR="00FE79D2" w:rsidRPr="00FE79D2" w:rsidRDefault="00FE79D2" w:rsidP="00FE79D2">
      <w:pPr>
        <w:numPr>
          <w:ilvl w:val="0"/>
          <w:numId w:val="1"/>
        </w:numPr>
        <w:spacing w:after="0" w:line="240" w:lineRule="auto"/>
        <w:textAlignment w:val="baseline"/>
        <w:rPr>
          <w:rFonts w:ascii="Calibri" w:eastAsia="Times New Roman" w:hAnsi="Calibri" w:cs="Calibri"/>
          <w:color w:val="000000"/>
          <w:lang w:val="fr-CA" w:eastAsia="fr-CA"/>
        </w:rPr>
      </w:pPr>
      <w:r w:rsidRPr="00FE79D2">
        <w:rPr>
          <w:rFonts w:ascii="Calibri" w:eastAsia="Times New Roman" w:hAnsi="Calibri" w:cs="Calibri"/>
          <w:color w:val="000000"/>
          <w:lang w:val="fr-CA" w:eastAsia="fr-CA"/>
        </w:rPr>
        <w:lastRenderedPageBreak/>
        <w:t>Concernant la demande d’avoir un micro dans la salle pour les personnes qui ne seraient pas présentes sur place, ce n’est possible. Depuis que le décret est terminé, elles doivent être physiquement sur place. Les Services juridiques du CSSDM expliquent cette décision par des soucis techniques du passé qui rendaient les rencontres hybrides difficiles.</w:t>
      </w:r>
    </w:p>
    <w:p w14:paraId="606236F0"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p>
    <w:p w14:paraId="32E28E33"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b/>
          <w:bCs/>
          <w:color w:val="000000"/>
          <w:sz w:val="28"/>
          <w:szCs w:val="28"/>
          <w:lang w:val="fr-CA" w:eastAsia="fr-CA"/>
        </w:rPr>
        <w:t>4. Varia</w:t>
      </w:r>
    </w:p>
    <w:p w14:paraId="3875FB6B" w14:textId="77777777" w:rsidR="00FE79D2" w:rsidRPr="00FE79D2" w:rsidRDefault="00FE79D2" w:rsidP="00FE79D2">
      <w:pPr>
        <w:spacing w:after="0" w:line="240" w:lineRule="auto"/>
        <w:ind w:firstLine="720"/>
        <w:outlineLvl w:val="1"/>
        <w:rPr>
          <w:rFonts w:ascii="Times New Roman" w:eastAsia="Times New Roman" w:hAnsi="Times New Roman" w:cs="Times New Roman"/>
          <w:b/>
          <w:bCs/>
          <w:sz w:val="36"/>
          <w:szCs w:val="36"/>
          <w:lang w:val="fr-CA" w:eastAsia="fr-CA"/>
        </w:rPr>
      </w:pPr>
      <w:r w:rsidRPr="00FE79D2">
        <w:rPr>
          <w:rFonts w:ascii="Calibri" w:eastAsia="Times New Roman" w:hAnsi="Calibri" w:cs="Calibri"/>
          <w:b/>
          <w:bCs/>
          <w:color w:val="000000"/>
          <w:sz w:val="24"/>
          <w:szCs w:val="24"/>
          <w:lang w:val="fr-CA" w:eastAsia="fr-CA"/>
        </w:rPr>
        <w:t>4.1 Récréations</w:t>
      </w:r>
    </w:p>
    <w:p w14:paraId="213AF6E3"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color w:val="000000"/>
          <w:lang w:val="fr-CA" w:eastAsia="fr-CA"/>
        </w:rPr>
        <w:t>Matthew Legault demande pourquoi les récréations sont toujours divisées et pourquoi les cycles ne sont pas rassemblés. Réponse : Depuis la COVID, deux récréations ont été créées. Le personnel a remarqué qu’il y a moins de conflits entre les élèves, car ils et elles sont moins nombreux et nombreuses, et qu’il y a plus d’espace pour jouer. Pour cette raison, l’équipe-école a choisi de maintenir les deux récréations à la fin des mesures sanitaires pour la COVID. Aussi, l’école Baril partage des spécialistes avec d’autres écoles. Quand l’école crée l’horaire des spécialistes, on planifie les récréations en fonction de leurs horaires.</w:t>
      </w:r>
    </w:p>
    <w:p w14:paraId="6E1E3316"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p>
    <w:p w14:paraId="179ABDEB" w14:textId="77777777" w:rsidR="00FE79D2" w:rsidRPr="00FE79D2" w:rsidRDefault="00FE79D2" w:rsidP="00FE79D2">
      <w:pPr>
        <w:spacing w:after="0" w:line="240" w:lineRule="auto"/>
        <w:ind w:firstLine="720"/>
        <w:outlineLvl w:val="1"/>
        <w:rPr>
          <w:rFonts w:ascii="Times New Roman" w:eastAsia="Times New Roman" w:hAnsi="Times New Roman" w:cs="Times New Roman"/>
          <w:b/>
          <w:bCs/>
          <w:sz w:val="36"/>
          <w:szCs w:val="36"/>
          <w:lang w:val="fr-CA" w:eastAsia="fr-CA"/>
        </w:rPr>
      </w:pPr>
      <w:r w:rsidRPr="00FE79D2">
        <w:rPr>
          <w:rFonts w:ascii="Calibri" w:eastAsia="Times New Roman" w:hAnsi="Calibri" w:cs="Calibri"/>
          <w:b/>
          <w:bCs/>
          <w:color w:val="000000"/>
          <w:sz w:val="24"/>
          <w:szCs w:val="24"/>
          <w:lang w:val="fr-CA" w:eastAsia="fr-CA"/>
        </w:rPr>
        <w:t>4.2 Activité de fin de primaire</w:t>
      </w:r>
    </w:p>
    <w:p w14:paraId="26749BA4"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color w:val="000000"/>
          <w:lang w:val="fr-CA" w:eastAsia="fr-CA"/>
        </w:rPr>
        <w:t>Audrée Favreau-Pinet souhaite explorer l’idée de mettre en place un voyage de fin de primaire. Elle demande que l’équipe-école se consulte pour connaître la possibilité de mettre sur pied un tel projet.</w:t>
      </w:r>
    </w:p>
    <w:p w14:paraId="6283B00D" w14:textId="77777777" w:rsidR="00FE79D2" w:rsidRPr="00FE79D2" w:rsidRDefault="00FE79D2" w:rsidP="00FE79D2">
      <w:pPr>
        <w:numPr>
          <w:ilvl w:val="0"/>
          <w:numId w:val="2"/>
        </w:numPr>
        <w:spacing w:after="0" w:line="240" w:lineRule="auto"/>
        <w:textAlignment w:val="baseline"/>
        <w:rPr>
          <w:rFonts w:ascii="Calibri" w:eastAsia="Times New Roman" w:hAnsi="Calibri" w:cs="Calibri"/>
          <w:i/>
          <w:iCs/>
          <w:color w:val="000000"/>
          <w:lang w:val="fr-CA" w:eastAsia="fr-CA"/>
        </w:rPr>
      </w:pPr>
      <w:r w:rsidRPr="00FE79D2">
        <w:rPr>
          <w:rFonts w:ascii="Calibri" w:eastAsia="Times New Roman" w:hAnsi="Calibri" w:cs="Calibri"/>
          <w:i/>
          <w:iCs/>
          <w:color w:val="000000"/>
          <w:lang w:val="fr-CA" w:eastAsia="fr-CA"/>
        </w:rPr>
        <w:t>Suivi : Florence Minette et Élaine C. demandent l’avis de l’équipe-école.</w:t>
      </w:r>
    </w:p>
    <w:p w14:paraId="7105DBE1" w14:textId="77777777" w:rsidR="00FE79D2" w:rsidRPr="00FE79D2" w:rsidRDefault="00FE79D2" w:rsidP="00FE79D2">
      <w:pPr>
        <w:numPr>
          <w:ilvl w:val="0"/>
          <w:numId w:val="2"/>
        </w:numPr>
        <w:spacing w:after="0" w:line="240" w:lineRule="auto"/>
        <w:textAlignment w:val="baseline"/>
        <w:rPr>
          <w:rFonts w:ascii="Calibri" w:eastAsia="Times New Roman" w:hAnsi="Calibri" w:cs="Calibri"/>
          <w:i/>
          <w:iCs/>
          <w:color w:val="000000"/>
          <w:lang w:val="fr-CA" w:eastAsia="fr-CA"/>
        </w:rPr>
      </w:pPr>
      <w:r w:rsidRPr="00FE79D2">
        <w:rPr>
          <w:rFonts w:ascii="Calibri" w:eastAsia="Times New Roman" w:hAnsi="Calibri" w:cs="Calibri"/>
          <w:i/>
          <w:iCs/>
          <w:color w:val="000000"/>
          <w:lang w:val="fr-CA" w:eastAsia="fr-CA"/>
        </w:rPr>
        <w:t>Suivi : On ajoute ce point à l’ordre du jour de la prochaine rencontre du CÉ.</w:t>
      </w:r>
    </w:p>
    <w:p w14:paraId="08D13BEE"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p>
    <w:p w14:paraId="5DF4D03B"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b/>
          <w:bCs/>
          <w:color w:val="000000"/>
          <w:sz w:val="28"/>
          <w:szCs w:val="28"/>
          <w:lang w:val="fr-CA" w:eastAsia="fr-CA"/>
        </w:rPr>
        <w:t>5. Plan de lutte contre l’intimidation et la violence</w:t>
      </w:r>
    </w:p>
    <w:p w14:paraId="13E55F2C"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color w:val="000000"/>
          <w:lang w:val="fr-CA" w:eastAsia="fr-CA"/>
        </w:rPr>
        <w:t>La COVID a un impact sur les habiletés sociales des jeunes. Le Plan de lutte a été déposé sur le site internet de l’école pour augmenter sa portée et le publiciser. Le conseil étudiant ne s’est pas encore réuni. Le comité de lutte contre l’intimidation et la violence a créé des pictogrammes pour expliquer aux plus petits ce que sont les conflits, l’intimidation, etc. Des zones de surveillance ont été créées dans la cour d’école et des surveillants patrouillent dans chaque zone. </w:t>
      </w:r>
    </w:p>
    <w:p w14:paraId="6180D880"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p>
    <w:p w14:paraId="26FE8536"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b/>
          <w:bCs/>
          <w:color w:val="000000"/>
          <w:sz w:val="28"/>
          <w:szCs w:val="28"/>
          <w:lang w:val="fr-CA" w:eastAsia="fr-CA"/>
        </w:rPr>
        <w:t>6. Planification de la consultation obligatoire des élèves</w:t>
      </w:r>
    </w:p>
    <w:p w14:paraId="0D4932E0"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color w:val="000000"/>
          <w:lang w:val="fr-CA" w:eastAsia="fr-CA"/>
        </w:rPr>
        <w:t>Le CÉ doit consulter les élèves au moins une fois chaque année. La fiche thématique envoyée par courriel explique sur quoi on peut les consulter. Alexandra Dufort et Michèle Henrichon sont les enseignantes qui s’occupent du conseil étudiant. </w:t>
      </w:r>
    </w:p>
    <w:p w14:paraId="4C316F13"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p>
    <w:p w14:paraId="1F7F127B"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b/>
          <w:bCs/>
          <w:color w:val="000000"/>
          <w:sz w:val="28"/>
          <w:szCs w:val="28"/>
          <w:lang w:val="fr-CA" w:eastAsia="fr-CA"/>
        </w:rPr>
        <w:t>7. Service de garde </w:t>
      </w:r>
    </w:p>
    <w:p w14:paraId="68F4C5B5"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color w:val="000000"/>
          <w:lang w:val="fr-CA" w:eastAsia="fr-CA"/>
        </w:rPr>
        <w:t xml:space="preserve">Élaine annonce que les élèves sont nombreux et nombreuses! Lors de la plus récente journée pédagogique, le 15 novembre, la sortie au </w:t>
      </w:r>
      <w:proofErr w:type="spellStart"/>
      <w:r w:rsidRPr="00FE79D2">
        <w:rPr>
          <w:rFonts w:ascii="Calibri" w:eastAsia="Times New Roman" w:hAnsi="Calibri" w:cs="Calibri"/>
          <w:color w:val="000000"/>
          <w:lang w:val="fr-CA" w:eastAsia="fr-CA"/>
        </w:rPr>
        <w:t>Funtropolis</w:t>
      </w:r>
      <w:proofErr w:type="spellEnd"/>
      <w:r w:rsidRPr="00FE79D2">
        <w:rPr>
          <w:rFonts w:ascii="Calibri" w:eastAsia="Times New Roman" w:hAnsi="Calibri" w:cs="Calibri"/>
          <w:color w:val="000000"/>
          <w:lang w:val="fr-CA" w:eastAsia="fr-CA"/>
        </w:rPr>
        <w:t xml:space="preserve"> comptait 178 enfants et s’est bien déroulée. Il n’y a aucune garantie que les prochaines activités des journées pédagogiques auront lieu, car il y a un manque d’autobus scolaires. La prochaine activité pédagogique sera le dîner de Noël. Il y a </w:t>
      </w:r>
      <w:proofErr w:type="gramStart"/>
      <w:r w:rsidRPr="00FE79D2">
        <w:rPr>
          <w:rFonts w:ascii="Calibri" w:eastAsia="Times New Roman" w:hAnsi="Calibri" w:cs="Calibri"/>
          <w:color w:val="000000"/>
          <w:lang w:val="fr-CA" w:eastAsia="fr-CA"/>
        </w:rPr>
        <w:t>une membre</w:t>
      </w:r>
      <w:proofErr w:type="gramEnd"/>
      <w:r w:rsidRPr="00FE79D2">
        <w:rPr>
          <w:rFonts w:ascii="Calibri" w:eastAsia="Times New Roman" w:hAnsi="Calibri" w:cs="Calibri"/>
          <w:color w:val="000000"/>
          <w:lang w:val="fr-CA" w:eastAsia="fr-CA"/>
        </w:rPr>
        <w:t xml:space="preserve"> du personnel qui quitte son poste en janvier, mais il y a une stabilité et une belle atmosphère. Quatre personnes sont en évaluation pour obtenir un poste. Les Règlements généraux ont été envoyés à tous les parents de l’école. </w:t>
      </w:r>
    </w:p>
    <w:p w14:paraId="1151A678"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p>
    <w:p w14:paraId="046C0AC9"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b/>
          <w:bCs/>
          <w:color w:val="000000"/>
          <w:sz w:val="28"/>
          <w:szCs w:val="28"/>
          <w:lang w:val="fr-CA" w:eastAsia="fr-CA"/>
        </w:rPr>
        <w:t>8. Projet éducatif (suivi)</w:t>
      </w:r>
    </w:p>
    <w:p w14:paraId="3FE6758B" w14:textId="77777777" w:rsidR="00FE79D2" w:rsidRPr="00FE79D2" w:rsidRDefault="00FE79D2" w:rsidP="00FE79D2">
      <w:pPr>
        <w:spacing w:after="0" w:line="240" w:lineRule="auto"/>
        <w:ind w:firstLine="720"/>
        <w:outlineLvl w:val="1"/>
        <w:rPr>
          <w:rFonts w:ascii="Times New Roman" w:eastAsia="Times New Roman" w:hAnsi="Times New Roman" w:cs="Times New Roman"/>
          <w:b/>
          <w:bCs/>
          <w:sz w:val="36"/>
          <w:szCs w:val="36"/>
          <w:lang w:val="fr-CA" w:eastAsia="fr-CA"/>
        </w:rPr>
      </w:pPr>
      <w:r w:rsidRPr="00FE79D2">
        <w:rPr>
          <w:rFonts w:ascii="Calibri" w:eastAsia="Times New Roman" w:hAnsi="Calibri" w:cs="Calibri"/>
          <w:b/>
          <w:bCs/>
          <w:color w:val="000000"/>
          <w:sz w:val="24"/>
          <w:szCs w:val="24"/>
          <w:lang w:val="fr-CA" w:eastAsia="fr-CA"/>
        </w:rPr>
        <w:tab/>
        <w:t>8.1</w:t>
      </w:r>
      <w:r w:rsidRPr="00FE79D2">
        <w:rPr>
          <w:rFonts w:ascii="Calibri" w:eastAsia="Times New Roman" w:hAnsi="Calibri" w:cs="Calibri"/>
          <w:b/>
          <w:bCs/>
          <w:color w:val="000000"/>
          <w:sz w:val="24"/>
          <w:szCs w:val="24"/>
          <w:lang w:val="fr-CA" w:eastAsia="fr-CA"/>
        </w:rPr>
        <w:tab/>
        <w:t>Échéancier</w:t>
      </w:r>
    </w:p>
    <w:p w14:paraId="07383C00"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color w:val="000000"/>
          <w:lang w:val="fr-CA" w:eastAsia="fr-CA"/>
        </w:rPr>
        <w:t xml:space="preserve">On rappelle qu’on termine un projet éducatif cette année et qu’on en démarre un nouveau. Le 25 novembre, la journée pédagogique servait à travailler l’étape 1, soit le contexte et les </w:t>
      </w:r>
      <w:r w:rsidRPr="00FE79D2">
        <w:rPr>
          <w:rFonts w:ascii="Calibri" w:eastAsia="Times New Roman" w:hAnsi="Calibri" w:cs="Calibri"/>
          <w:color w:val="000000"/>
          <w:lang w:val="fr-CA" w:eastAsia="fr-CA"/>
        </w:rPr>
        <w:lastRenderedPageBreak/>
        <w:t>environnements externe et interne, ainsi que du début l’étape 2, les enjeux. À partir de janvier, seront réfléchis les orientations, objectifs, indicateurs, cibles et moyens. La prochaine journée pédagogique du 21 avril est ciblée pour travailler sur cette étape.</w:t>
      </w:r>
    </w:p>
    <w:p w14:paraId="13629210"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p>
    <w:p w14:paraId="478A1CEB"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color w:val="000000"/>
          <w:lang w:val="fr-CA" w:eastAsia="fr-CA"/>
        </w:rPr>
        <w:t>Pour information, le contexte est le milieu dans lequel l’école évolue (quartier, arrondissement, ville). L'environnement externe, c’est tout ce qui est à l’extérieur des limites du terrain de l’école, ce sur quoi on a peu ou pas de contrôle. L’environnement interne, c’est la situation des élèves, l’administration et le personnel de l’école au sein de l’établissement. Ça concerne aussi l’infrastructure même de l’école.</w:t>
      </w:r>
    </w:p>
    <w:p w14:paraId="18844A8D"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p>
    <w:p w14:paraId="262CBB45"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color w:val="000000"/>
          <w:lang w:val="fr-CA" w:eastAsia="fr-CA"/>
        </w:rPr>
        <w:t>Concernant les enjeux, selon le ministère de l’Éducation et selon une précision du CSSDM, un enjeu doit découler du contexte. Il sert à structurer les objectifs. Il s’agit d’un défi ou d’une problématique qu’on souhaite régler ou voir évoluer. Il doit être formulé dans un bref énoncé de quelques mots. Le projet éducatif doit s’arrimer au PVER du CSSDM.</w:t>
      </w:r>
    </w:p>
    <w:p w14:paraId="1D191AD0"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p>
    <w:p w14:paraId="672661BF"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color w:val="000000"/>
          <w:lang w:val="fr-CA" w:eastAsia="fr-CA"/>
        </w:rPr>
        <w:t>Lors de la journée de travail du 25 novembre, l’équipe-école a travaillé en plus petites équipes de travail pour déterminer les forces et vulnérabilités du milieu. </w:t>
      </w:r>
    </w:p>
    <w:p w14:paraId="4680C177"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p>
    <w:p w14:paraId="548ACD58"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b/>
          <w:bCs/>
          <w:color w:val="000000"/>
          <w:lang w:val="fr-CA" w:eastAsia="fr-CA"/>
        </w:rPr>
        <w:t>Forces</w:t>
      </w:r>
      <w:r w:rsidRPr="00FE79D2">
        <w:rPr>
          <w:rFonts w:ascii="Calibri" w:eastAsia="Times New Roman" w:hAnsi="Calibri" w:cs="Calibri"/>
          <w:color w:val="000000"/>
          <w:lang w:val="fr-CA" w:eastAsia="fr-CA"/>
        </w:rPr>
        <w:t>, selon toutes les équipes de travail : belle collaboration avec les organismes et les parents; bonne stabilité chez le personnel; bon leadership de la part de la direction. </w:t>
      </w:r>
    </w:p>
    <w:p w14:paraId="6BF47E03"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p>
    <w:p w14:paraId="1D931926"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b/>
          <w:bCs/>
          <w:color w:val="000000"/>
          <w:lang w:val="fr-CA" w:eastAsia="fr-CA"/>
        </w:rPr>
        <w:t>Forces</w:t>
      </w:r>
      <w:r w:rsidRPr="00FE79D2">
        <w:rPr>
          <w:rFonts w:ascii="Calibri" w:eastAsia="Times New Roman" w:hAnsi="Calibri" w:cs="Calibri"/>
          <w:color w:val="000000"/>
          <w:lang w:val="fr-CA" w:eastAsia="fr-CA"/>
        </w:rPr>
        <w:t>, selon les ⅔ des équipes de travail : belle mobilisation du personnel, belle offre de services complémentaires, belle offre de services aux élèves, bon climat organisationnel, bon équipement technologique. </w:t>
      </w:r>
    </w:p>
    <w:p w14:paraId="2F389B8D"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p>
    <w:p w14:paraId="29B43469"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b/>
          <w:bCs/>
          <w:color w:val="000000"/>
          <w:lang w:val="fr-CA" w:eastAsia="fr-CA"/>
        </w:rPr>
        <w:t>Vulnérabilités</w:t>
      </w:r>
      <w:r w:rsidRPr="00FE79D2">
        <w:rPr>
          <w:rFonts w:ascii="Calibri" w:eastAsia="Times New Roman" w:hAnsi="Calibri" w:cs="Calibri"/>
          <w:color w:val="000000"/>
          <w:lang w:val="fr-CA" w:eastAsia="fr-CA"/>
        </w:rPr>
        <w:t>, selon toutes les équipes de travail : le contexte socio-économique du territoire fait qu’on a des élèves qui ont de la difficulté, le haut pourcentage d’élèves en situation de handicap ou en difficulté d’apprentissage (EHDAA), les difficultés en lecture et en écriture.</w:t>
      </w:r>
    </w:p>
    <w:p w14:paraId="014B5EDD"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p>
    <w:p w14:paraId="4382F909"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b/>
          <w:bCs/>
          <w:color w:val="000000"/>
          <w:lang w:val="fr-CA" w:eastAsia="fr-CA"/>
        </w:rPr>
        <w:t>Vulnérabilités</w:t>
      </w:r>
      <w:r w:rsidRPr="00FE79D2">
        <w:rPr>
          <w:rFonts w:ascii="Calibri" w:eastAsia="Times New Roman" w:hAnsi="Calibri" w:cs="Calibri"/>
          <w:color w:val="000000"/>
          <w:lang w:val="fr-CA" w:eastAsia="fr-CA"/>
        </w:rPr>
        <w:t xml:space="preserve">, selon les ⅔ des équipes de travail : l’indice de </w:t>
      </w:r>
      <w:proofErr w:type="spellStart"/>
      <w:r w:rsidRPr="00FE79D2">
        <w:rPr>
          <w:rFonts w:ascii="Calibri" w:eastAsia="Times New Roman" w:hAnsi="Calibri" w:cs="Calibri"/>
          <w:color w:val="000000"/>
          <w:lang w:val="fr-CA" w:eastAsia="fr-CA"/>
        </w:rPr>
        <w:t>défavorisation</w:t>
      </w:r>
      <w:proofErr w:type="spellEnd"/>
      <w:r w:rsidRPr="00FE79D2">
        <w:rPr>
          <w:rFonts w:ascii="Calibri" w:eastAsia="Times New Roman" w:hAnsi="Calibri" w:cs="Calibri"/>
          <w:color w:val="000000"/>
          <w:lang w:val="fr-CA" w:eastAsia="fr-CA"/>
        </w:rPr>
        <w:t xml:space="preserve"> de l’école de 10 avec certains élèves fortement défavorisés, la disponibilité des locaux, la difficulté en résolution de problème et raisonnement.</w:t>
      </w:r>
    </w:p>
    <w:p w14:paraId="1298A351"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p>
    <w:p w14:paraId="04BE1F97"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color w:val="000000"/>
          <w:lang w:val="fr-CA" w:eastAsia="fr-CA"/>
        </w:rPr>
        <w:t>Le 21 février, au prochain CÉ, les enjeux devraient avoir été déterminés par l’équipe-école.</w:t>
      </w:r>
    </w:p>
    <w:p w14:paraId="0CCE8A13"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p>
    <w:p w14:paraId="6A93A070" w14:textId="77777777" w:rsidR="00FE79D2" w:rsidRPr="00FE79D2" w:rsidRDefault="00FE79D2" w:rsidP="00FE79D2">
      <w:pPr>
        <w:spacing w:after="0" w:line="240" w:lineRule="auto"/>
        <w:ind w:firstLine="720"/>
        <w:outlineLvl w:val="1"/>
        <w:rPr>
          <w:rFonts w:ascii="Times New Roman" w:eastAsia="Times New Roman" w:hAnsi="Times New Roman" w:cs="Times New Roman"/>
          <w:b/>
          <w:bCs/>
          <w:sz w:val="36"/>
          <w:szCs w:val="36"/>
          <w:lang w:val="fr-CA" w:eastAsia="fr-CA"/>
        </w:rPr>
      </w:pPr>
      <w:r w:rsidRPr="00FE79D2">
        <w:rPr>
          <w:rFonts w:ascii="Calibri" w:eastAsia="Times New Roman" w:hAnsi="Calibri" w:cs="Calibri"/>
          <w:b/>
          <w:bCs/>
          <w:color w:val="000000"/>
          <w:sz w:val="24"/>
          <w:szCs w:val="24"/>
          <w:lang w:val="fr-CA" w:eastAsia="fr-CA"/>
        </w:rPr>
        <w:tab/>
        <w:t>8.2</w:t>
      </w:r>
      <w:r w:rsidRPr="00FE79D2">
        <w:rPr>
          <w:rFonts w:ascii="Calibri" w:eastAsia="Times New Roman" w:hAnsi="Calibri" w:cs="Calibri"/>
          <w:b/>
          <w:bCs/>
          <w:color w:val="000000"/>
          <w:sz w:val="24"/>
          <w:szCs w:val="24"/>
          <w:lang w:val="fr-CA" w:eastAsia="fr-CA"/>
        </w:rPr>
        <w:tab/>
        <w:t>Consultation des parents</w:t>
      </w:r>
    </w:p>
    <w:p w14:paraId="3C7EE8F7"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color w:val="000000"/>
          <w:lang w:val="fr-CA" w:eastAsia="fr-CA"/>
        </w:rPr>
        <w:t>Le CSSDM a créé un sondage qui sera envoyé la semaine prochaine avec des questions sur le contexte dans lequel on évolue (environnements interne et externe). M. Côté insérera des statistiques à l’intérieur de ce sondage pour contextualiser la réalité de l’école. Ex.  1 : Environ la moitié des familles du quartier sont monoparentales. Ex. 2 : Environ 33 % des élèves arrivent au préscolaire avec des facteurs de vulnérabilité assez grands parce qu’ils ont au moins un retard de développement.</w:t>
      </w:r>
    </w:p>
    <w:p w14:paraId="6BBC245E"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p>
    <w:p w14:paraId="2BCC25C8"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b/>
          <w:bCs/>
          <w:color w:val="000000"/>
          <w:sz w:val="28"/>
          <w:szCs w:val="28"/>
          <w:lang w:val="fr-CA" w:eastAsia="fr-CA"/>
        </w:rPr>
        <w:t>9. « La lecture en cadeau » et « Un livre à moi » (approbation)</w:t>
      </w:r>
    </w:p>
    <w:p w14:paraId="51D23868"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color w:val="000000"/>
          <w:lang w:val="fr-CA" w:eastAsia="fr-CA"/>
        </w:rPr>
        <w:t>L’école recevra de la Fondation de l’alphabétisation un livre neuf par enfant dans l’école avec le programme « La lecture en cadeau ». Le CÉ exprime un certain malaise avec le fait que des familles favorisées reçoivent le livre alors que le programme ne leur est pas destiné. On constate en même temps qu’on ne peut pas faire de différence entre les familles de l’école selon les revenus.</w:t>
      </w:r>
    </w:p>
    <w:p w14:paraId="08CAC3F4"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p>
    <w:p w14:paraId="65CC16C5"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color w:val="000000"/>
          <w:lang w:val="fr-CA" w:eastAsia="fr-CA"/>
        </w:rPr>
        <w:lastRenderedPageBreak/>
        <w:t>La Banque TD organise chaque année une distribution de livres pour les élèves de 1re année. La Banque TD demande si le CÉ est d’accord de faire cette distribution. Le CSSDM a avalisé la distribution du livre depuis 2015, mais le CSSDM demande d’être prudent et de demander l’approbation du CÉ. On note au PV qu’on trouve scandaleux qu’une institution financière finance des ressources matérielles de l’école.</w:t>
      </w:r>
    </w:p>
    <w:p w14:paraId="61926712"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p>
    <w:p w14:paraId="4888FFC5"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color w:val="000000"/>
          <w:lang w:val="fr-CA" w:eastAsia="fr-CA"/>
        </w:rPr>
        <w:t>Il n’y a pas d’opposition; le CÉ approuve les deux dons.</w:t>
      </w:r>
    </w:p>
    <w:p w14:paraId="4AC9076D"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p>
    <w:p w14:paraId="1D2EB8CA"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b/>
          <w:bCs/>
          <w:color w:val="000000"/>
          <w:sz w:val="28"/>
          <w:szCs w:val="28"/>
          <w:lang w:val="fr-CA" w:eastAsia="fr-CA"/>
        </w:rPr>
        <w:t>10. OPP</w:t>
      </w:r>
    </w:p>
    <w:p w14:paraId="2473EF35"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color w:val="000000"/>
          <w:lang w:val="fr-CA" w:eastAsia="fr-CA"/>
        </w:rPr>
        <w:t>Jean-Christophe annonce une soirée cinéma en cours d’organisation qui aura lieu le 14 décembre. Il y aura aussi la vente d’objets perdus. Les profits visent à diminuer les coûts des sorties du Service de garde.</w:t>
      </w:r>
    </w:p>
    <w:p w14:paraId="0EAC8538"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color w:val="000000"/>
          <w:lang w:val="fr-CA" w:eastAsia="fr-CA"/>
        </w:rPr>
        <w:t>On relance les projets de mobilier dans la cour d’école (projets passés : pistes d’hébertisme, scène, mobilier pour classe extérieure, jardins). Qu’est-ce qu’on pourrait aménager dans la cour d’école ou le terrain avant? Qu’est-ce que le CPEPE aimerait avoir? Où serait-il intéressant de mettre de l’énergie en collaboration?</w:t>
      </w:r>
      <w:r w:rsidRPr="00FE79D2">
        <w:rPr>
          <w:rFonts w:ascii="Calibri" w:eastAsia="Times New Roman" w:hAnsi="Calibri" w:cs="Calibri"/>
          <w:color w:val="000000"/>
          <w:lang w:val="fr-CA" w:eastAsia="fr-CA"/>
        </w:rPr>
        <w:br/>
      </w:r>
      <w:r w:rsidRPr="00FE79D2">
        <w:rPr>
          <w:rFonts w:ascii="Calibri" w:eastAsia="Times New Roman" w:hAnsi="Calibri" w:cs="Calibri"/>
          <w:i/>
          <w:iCs/>
          <w:color w:val="000000"/>
          <w:lang w:val="fr-CA" w:eastAsia="fr-CA"/>
        </w:rPr>
        <w:t>Suivi : Jean-Christophe transmet au CÉ une liste des projets passés.</w:t>
      </w:r>
    </w:p>
    <w:p w14:paraId="0B7F7B55"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i/>
          <w:iCs/>
          <w:color w:val="000000"/>
          <w:lang w:val="fr-CA" w:eastAsia="fr-CA"/>
        </w:rPr>
        <w:t>Suivi : Élaine et Florence consultent le CPEPE.</w:t>
      </w:r>
    </w:p>
    <w:p w14:paraId="34AB1205"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i/>
          <w:iCs/>
          <w:color w:val="000000"/>
          <w:lang w:val="fr-CA" w:eastAsia="fr-CA"/>
        </w:rPr>
        <w:t>Suivi : On suggère de consulter également le comité d’élèves.</w:t>
      </w:r>
    </w:p>
    <w:p w14:paraId="21DF0EC1"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p>
    <w:p w14:paraId="0545B9CA"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b/>
          <w:bCs/>
          <w:color w:val="000000"/>
          <w:sz w:val="28"/>
          <w:szCs w:val="28"/>
          <w:lang w:val="fr-CA" w:eastAsia="fr-CA"/>
        </w:rPr>
        <w:t>11. Éducation à la sexualité (approbation)</w:t>
      </w:r>
    </w:p>
    <w:p w14:paraId="5EF52C49"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color w:val="000000"/>
          <w:lang w:val="fr-CA" w:eastAsia="fr-CA"/>
        </w:rPr>
        <w:t>Il y a un contenu d’éducation à la sexualité qui doit être livré obligatoirement au primaire et au secondaire. Ces contenus ont été délaissés durant la COVID, car il fallait prioriser certains apprentissages. On y revient cette année. On informe le CÉ que les enseignantes et les enseignants ont été consultés sur leur degré d’aisance à transmettre ces contenus. Au besoin, les psychoéducateurs et l’infirmière scolaire peuvent les accompagner.</w:t>
      </w:r>
    </w:p>
    <w:p w14:paraId="7EB0C54E"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color w:val="000000"/>
          <w:lang w:val="fr-CA" w:eastAsia="fr-CA"/>
        </w:rPr>
        <w:br/>
        <w:t>Le CÉ est d’accord avec les modalités à l'unanimité.</w:t>
      </w:r>
    </w:p>
    <w:p w14:paraId="5E8E4AE7"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p>
    <w:p w14:paraId="13DC6CA4"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b/>
          <w:bCs/>
          <w:color w:val="000000"/>
          <w:sz w:val="28"/>
          <w:szCs w:val="28"/>
          <w:lang w:val="fr-CA" w:eastAsia="fr-CA"/>
        </w:rPr>
        <w:t xml:space="preserve">12. Activités spéciales de financement - Fonds à destination spéciale </w:t>
      </w:r>
      <w:r w:rsidRPr="00FE79D2">
        <w:rPr>
          <w:rFonts w:ascii="Calibri" w:eastAsia="Times New Roman" w:hAnsi="Calibri" w:cs="Calibri"/>
          <w:b/>
          <w:bCs/>
          <w:color w:val="000000"/>
          <w:sz w:val="28"/>
          <w:szCs w:val="28"/>
          <w:lang w:val="fr-CA" w:eastAsia="fr-CA"/>
        </w:rPr>
        <w:tab/>
        <w:t>(adoption) </w:t>
      </w:r>
    </w:p>
    <w:p w14:paraId="0A409890"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color w:val="000000"/>
          <w:lang w:val="fr-CA" w:eastAsia="fr-CA"/>
        </w:rPr>
        <w:t>Il y a une activité de financement organisée par les classes de Michèle Henrichon et d’Alexandra Dufort en 6e année pour la sortie de classe verte à la fin de l’année. Le CÉ adopte cette activité spéciale à l’unanimité.</w:t>
      </w:r>
    </w:p>
    <w:p w14:paraId="6B297CA4"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p>
    <w:p w14:paraId="319F7F7D"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color w:val="000000"/>
          <w:lang w:val="fr-CA" w:eastAsia="fr-CA"/>
        </w:rPr>
        <w:t>Pour l’activité cinéma du 14 décembre, il s’agit aussi d’une activité spéciale de financement pour financer les coûts de la prochaine sortie du Service de garde. Plusieurs discussions autour de cette activité ont lieu.</w:t>
      </w:r>
    </w:p>
    <w:p w14:paraId="4EEAA511"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p>
    <w:p w14:paraId="1ACB6208"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color w:val="000000"/>
          <w:lang w:val="fr-CA" w:eastAsia="fr-CA"/>
        </w:rPr>
        <w:t>Mathieu propose :  </w:t>
      </w:r>
    </w:p>
    <w:p w14:paraId="077C931E" w14:textId="77777777" w:rsidR="00FE79D2" w:rsidRPr="00FE79D2" w:rsidRDefault="00FE79D2" w:rsidP="00FE79D2">
      <w:pPr>
        <w:numPr>
          <w:ilvl w:val="0"/>
          <w:numId w:val="3"/>
        </w:numPr>
        <w:spacing w:after="0" w:line="240" w:lineRule="auto"/>
        <w:textAlignment w:val="baseline"/>
        <w:rPr>
          <w:rFonts w:ascii="Calibri" w:eastAsia="Times New Roman" w:hAnsi="Calibri" w:cs="Calibri"/>
          <w:color w:val="000000"/>
          <w:lang w:val="fr-CA" w:eastAsia="fr-CA"/>
        </w:rPr>
      </w:pPr>
      <w:proofErr w:type="gramStart"/>
      <w:r w:rsidRPr="00FE79D2">
        <w:rPr>
          <w:rFonts w:ascii="Calibri" w:eastAsia="Times New Roman" w:hAnsi="Calibri" w:cs="Calibri"/>
          <w:color w:val="000000"/>
          <w:lang w:val="fr-CA" w:eastAsia="fr-CA"/>
        </w:rPr>
        <w:t>que</w:t>
      </w:r>
      <w:proofErr w:type="gramEnd"/>
      <w:r w:rsidRPr="00FE79D2">
        <w:rPr>
          <w:rFonts w:ascii="Calibri" w:eastAsia="Times New Roman" w:hAnsi="Calibri" w:cs="Calibri"/>
          <w:color w:val="000000"/>
          <w:lang w:val="fr-CA" w:eastAsia="fr-CA"/>
        </w:rPr>
        <w:t xml:space="preserve"> l’activité de financement de cinéma aille de l’avant</w:t>
      </w:r>
    </w:p>
    <w:p w14:paraId="5124A0F1" w14:textId="77777777" w:rsidR="00FE79D2" w:rsidRPr="00FE79D2" w:rsidRDefault="00FE79D2" w:rsidP="00FE79D2">
      <w:pPr>
        <w:numPr>
          <w:ilvl w:val="0"/>
          <w:numId w:val="3"/>
        </w:numPr>
        <w:spacing w:after="0" w:line="240" w:lineRule="auto"/>
        <w:textAlignment w:val="baseline"/>
        <w:rPr>
          <w:rFonts w:ascii="Calibri" w:eastAsia="Times New Roman" w:hAnsi="Calibri" w:cs="Calibri"/>
          <w:color w:val="000000"/>
          <w:lang w:val="fr-CA" w:eastAsia="fr-CA"/>
        </w:rPr>
      </w:pPr>
      <w:proofErr w:type="gramStart"/>
      <w:r w:rsidRPr="00FE79D2">
        <w:rPr>
          <w:rFonts w:ascii="Calibri" w:eastAsia="Times New Roman" w:hAnsi="Calibri" w:cs="Calibri"/>
          <w:color w:val="000000"/>
          <w:lang w:val="fr-CA" w:eastAsia="fr-CA"/>
        </w:rPr>
        <w:t>à</w:t>
      </w:r>
      <w:proofErr w:type="gramEnd"/>
      <w:r w:rsidRPr="00FE79D2">
        <w:rPr>
          <w:rFonts w:ascii="Calibri" w:eastAsia="Times New Roman" w:hAnsi="Calibri" w:cs="Calibri"/>
          <w:color w:val="000000"/>
          <w:lang w:val="fr-CA" w:eastAsia="fr-CA"/>
        </w:rPr>
        <w:t xml:space="preserve"> la condition qu’elle soit organisée avec une contribution volontaire et non pas un montant obligatoire</w:t>
      </w:r>
    </w:p>
    <w:p w14:paraId="053F1C7D" w14:textId="77777777" w:rsidR="00FE79D2" w:rsidRPr="00FE79D2" w:rsidRDefault="00FE79D2" w:rsidP="00FE79D2">
      <w:pPr>
        <w:numPr>
          <w:ilvl w:val="0"/>
          <w:numId w:val="3"/>
        </w:numPr>
        <w:spacing w:after="0" w:line="240" w:lineRule="auto"/>
        <w:textAlignment w:val="baseline"/>
        <w:rPr>
          <w:rFonts w:ascii="Calibri" w:eastAsia="Times New Roman" w:hAnsi="Calibri" w:cs="Calibri"/>
          <w:color w:val="000000"/>
          <w:lang w:val="fr-CA" w:eastAsia="fr-CA"/>
        </w:rPr>
      </w:pPr>
      <w:proofErr w:type="gramStart"/>
      <w:r w:rsidRPr="00FE79D2">
        <w:rPr>
          <w:rFonts w:ascii="Calibri" w:eastAsia="Times New Roman" w:hAnsi="Calibri" w:cs="Calibri"/>
          <w:color w:val="000000"/>
          <w:lang w:val="fr-CA" w:eastAsia="fr-CA"/>
        </w:rPr>
        <w:t>que</w:t>
      </w:r>
      <w:proofErr w:type="gramEnd"/>
      <w:r w:rsidRPr="00FE79D2">
        <w:rPr>
          <w:rFonts w:ascii="Calibri" w:eastAsia="Times New Roman" w:hAnsi="Calibri" w:cs="Calibri"/>
          <w:color w:val="000000"/>
          <w:lang w:val="fr-CA" w:eastAsia="fr-CA"/>
        </w:rPr>
        <w:t xml:space="preserve"> le CÉ assume les coûts d’organisation jusqu’à concurrence de 300 $</w:t>
      </w:r>
    </w:p>
    <w:p w14:paraId="6134A034" w14:textId="77777777" w:rsidR="00FE79D2" w:rsidRPr="00FE79D2" w:rsidRDefault="00FE79D2" w:rsidP="00FE79D2">
      <w:pPr>
        <w:numPr>
          <w:ilvl w:val="0"/>
          <w:numId w:val="3"/>
        </w:numPr>
        <w:spacing w:after="0" w:line="240" w:lineRule="auto"/>
        <w:textAlignment w:val="baseline"/>
        <w:rPr>
          <w:rFonts w:ascii="Calibri" w:eastAsia="Times New Roman" w:hAnsi="Calibri" w:cs="Calibri"/>
          <w:color w:val="000000"/>
          <w:lang w:val="fr-CA" w:eastAsia="fr-CA"/>
        </w:rPr>
      </w:pPr>
      <w:proofErr w:type="gramStart"/>
      <w:r w:rsidRPr="00FE79D2">
        <w:rPr>
          <w:rFonts w:ascii="Calibri" w:eastAsia="Times New Roman" w:hAnsi="Calibri" w:cs="Calibri"/>
          <w:color w:val="000000"/>
          <w:lang w:val="fr-CA" w:eastAsia="fr-CA"/>
        </w:rPr>
        <w:t>et</w:t>
      </w:r>
      <w:proofErr w:type="gramEnd"/>
      <w:r w:rsidRPr="00FE79D2">
        <w:rPr>
          <w:rFonts w:ascii="Calibri" w:eastAsia="Times New Roman" w:hAnsi="Calibri" w:cs="Calibri"/>
          <w:color w:val="000000"/>
          <w:lang w:val="fr-CA" w:eastAsia="fr-CA"/>
        </w:rPr>
        <w:t xml:space="preserve"> que 100 % des fonds amassés servent à réduire les coûts de la prochaine sortie du Service de garde, au prorata du nombre de participantes et de participants.</w:t>
      </w:r>
    </w:p>
    <w:p w14:paraId="3AF2DEF5"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p>
    <w:p w14:paraId="12601E58"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color w:val="000000"/>
          <w:lang w:val="fr-CA" w:eastAsia="fr-CA"/>
        </w:rPr>
        <w:t>Marie-Claude Gourde appuie. L’activité est adoptée à l'unanimité.</w:t>
      </w:r>
    </w:p>
    <w:p w14:paraId="0C78D86F"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p>
    <w:p w14:paraId="1313D239"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color w:val="000000"/>
          <w:lang w:val="fr-CA" w:eastAsia="fr-CA"/>
        </w:rPr>
        <w:lastRenderedPageBreak/>
        <w:t>Le CÉ note qu’il faudrait discuter et collaborer davantage entre l’OPP et le CÉ, notamment pour les activités qui visent à amasser des fonds pour un objectif précis, afin que cet objectif soit pertinent et cohérent.</w:t>
      </w:r>
    </w:p>
    <w:p w14:paraId="7A749B83"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p>
    <w:p w14:paraId="667EE361"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i/>
          <w:iCs/>
          <w:color w:val="000000"/>
          <w:lang w:val="fr-CA" w:eastAsia="fr-CA"/>
        </w:rPr>
        <w:t>Suivi : Jean-Christophe fait un suivi auprès de Gaëlle pour lui transmettre la décision du CÉ.</w:t>
      </w:r>
    </w:p>
    <w:p w14:paraId="2CE5E492"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p>
    <w:p w14:paraId="0A7E70D6"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b/>
          <w:bCs/>
          <w:color w:val="000000"/>
          <w:sz w:val="28"/>
          <w:szCs w:val="28"/>
          <w:lang w:val="fr-CA" w:eastAsia="fr-CA"/>
        </w:rPr>
        <w:t>13. Sortie et activités spéciales (suivi)</w:t>
      </w:r>
    </w:p>
    <w:p w14:paraId="2FBB7345"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color w:val="000000"/>
          <w:lang w:val="fr-CA" w:eastAsia="fr-CA"/>
        </w:rPr>
        <w:t>Jocelyn Côté présente le tableau des sorties gratuites.</w:t>
      </w:r>
    </w:p>
    <w:p w14:paraId="4541FA61"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p>
    <w:p w14:paraId="0F2F2CB0"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b/>
          <w:bCs/>
          <w:color w:val="000000"/>
          <w:sz w:val="28"/>
          <w:szCs w:val="28"/>
          <w:lang w:val="fr-CA" w:eastAsia="fr-CA"/>
        </w:rPr>
        <w:t>14. Question du public</w:t>
      </w:r>
    </w:p>
    <w:p w14:paraId="1FD2206D"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color w:val="000000"/>
          <w:lang w:val="fr-CA" w:eastAsia="fr-CA"/>
        </w:rPr>
        <w:t>Pas de public, pas de questions!</w:t>
      </w:r>
    </w:p>
    <w:p w14:paraId="5B32A9D2"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p>
    <w:p w14:paraId="41A9CE48"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b/>
          <w:bCs/>
          <w:color w:val="000000"/>
          <w:sz w:val="28"/>
          <w:szCs w:val="28"/>
          <w:lang w:val="fr-CA" w:eastAsia="fr-CA"/>
        </w:rPr>
        <w:t>15. Levée de l’assemblée</w:t>
      </w:r>
    </w:p>
    <w:p w14:paraId="2A5B76B3"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color w:val="000000"/>
          <w:lang w:val="fr-CA" w:eastAsia="fr-CA"/>
        </w:rPr>
        <w:t>Mathieu Lavoie fait la levée de l’assemblée à 20 h 22. Marie-Claude appuie. La séance est levée.</w:t>
      </w:r>
    </w:p>
    <w:p w14:paraId="11E58301" w14:textId="77777777" w:rsidR="00FE79D2" w:rsidRPr="00FE79D2" w:rsidRDefault="00FE79D2" w:rsidP="00FE79D2">
      <w:pPr>
        <w:spacing w:after="240" w:line="240" w:lineRule="auto"/>
        <w:rPr>
          <w:rFonts w:ascii="Times New Roman" w:eastAsia="Times New Roman" w:hAnsi="Times New Roman" w:cs="Times New Roman"/>
          <w:sz w:val="24"/>
          <w:szCs w:val="24"/>
          <w:lang w:val="fr-CA" w:eastAsia="fr-CA"/>
        </w:rPr>
      </w:pPr>
      <w:r w:rsidRPr="00FE79D2">
        <w:rPr>
          <w:rFonts w:ascii="Times New Roman" w:eastAsia="Times New Roman" w:hAnsi="Times New Roman" w:cs="Times New Roman"/>
          <w:sz w:val="24"/>
          <w:szCs w:val="24"/>
          <w:lang w:val="fr-CA" w:eastAsia="fr-CA"/>
        </w:rPr>
        <w:br/>
      </w:r>
    </w:p>
    <w:p w14:paraId="2CDF65E7" w14:textId="77777777" w:rsidR="00FE79D2" w:rsidRPr="00FE79D2" w:rsidRDefault="00FE79D2" w:rsidP="00FE79D2">
      <w:pPr>
        <w:spacing w:after="0" w:line="240" w:lineRule="auto"/>
        <w:rPr>
          <w:rFonts w:ascii="Times New Roman" w:eastAsia="Times New Roman" w:hAnsi="Times New Roman" w:cs="Times New Roman"/>
          <w:sz w:val="24"/>
          <w:szCs w:val="24"/>
          <w:lang w:val="fr-CA" w:eastAsia="fr-CA"/>
        </w:rPr>
      </w:pPr>
      <w:r w:rsidRPr="00FE79D2">
        <w:rPr>
          <w:rFonts w:ascii="Calibri" w:eastAsia="Times New Roman" w:hAnsi="Calibri" w:cs="Calibri"/>
          <w:b/>
          <w:bCs/>
          <w:color w:val="000000"/>
          <w:sz w:val="28"/>
          <w:szCs w:val="28"/>
          <w:lang w:val="fr-CA" w:eastAsia="fr-CA"/>
        </w:rPr>
        <w:t>Mathieu Lavoie</w:t>
      </w:r>
      <w:r w:rsidRPr="00FE79D2">
        <w:rPr>
          <w:rFonts w:ascii="Calibri" w:eastAsia="Times New Roman" w:hAnsi="Calibri" w:cs="Calibri"/>
          <w:b/>
          <w:bCs/>
          <w:color w:val="000000"/>
          <w:sz w:val="28"/>
          <w:szCs w:val="28"/>
          <w:lang w:val="fr-CA" w:eastAsia="fr-CA"/>
        </w:rPr>
        <w:tab/>
      </w:r>
      <w:r w:rsidRPr="00FE79D2">
        <w:rPr>
          <w:rFonts w:ascii="Calibri" w:eastAsia="Times New Roman" w:hAnsi="Calibri" w:cs="Calibri"/>
          <w:b/>
          <w:bCs/>
          <w:color w:val="000000"/>
          <w:sz w:val="28"/>
          <w:szCs w:val="28"/>
          <w:lang w:val="fr-CA" w:eastAsia="fr-CA"/>
        </w:rPr>
        <w:tab/>
      </w:r>
      <w:r w:rsidRPr="00FE79D2">
        <w:rPr>
          <w:rFonts w:ascii="Calibri" w:eastAsia="Times New Roman" w:hAnsi="Calibri" w:cs="Calibri"/>
          <w:b/>
          <w:bCs/>
          <w:color w:val="000000"/>
          <w:sz w:val="28"/>
          <w:szCs w:val="28"/>
          <w:lang w:val="fr-CA" w:eastAsia="fr-CA"/>
        </w:rPr>
        <w:tab/>
      </w:r>
      <w:r w:rsidRPr="00FE79D2">
        <w:rPr>
          <w:rFonts w:ascii="Calibri" w:eastAsia="Times New Roman" w:hAnsi="Calibri" w:cs="Calibri"/>
          <w:b/>
          <w:bCs/>
          <w:color w:val="000000"/>
          <w:sz w:val="28"/>
          <w:szCs w:val="28"/>
          <w:lang w:val="fr-CA" w:eastAsia="fr-CA"/>
        </w:rPr>
        <w:tab/>
      </w:r>
      <w:r w:rsidRPr="00FE79D2">
        <w:rPr>
          <w:rFonts w:ascii="Calibri" w:eastAsia="Times New Roman" w:hAnsi="Calibri" w:cs="Calibri"/>
          <w:b/>
          <w:bCs/>
          <w:color w:val="000000"/>
          <w:sz w:val="28"/>
          <w:szCs w:val="28"/>
          <w:lang w:val="fr-CA" w:eastAsia="fr-CA"/>
        </w:rPr>
        <w:tab/>
      </w:r>
      <w:r w:rsidRPr="00FE79D2">
        <w:rPr>
          <w:rFonts w:ascii="Calibri" w:eastAsia="Times New Roman" w:hAnsi="Calibri" w:cs="Calibri"/>
          <w:b/>
          <w:bCs/>
          <w:color w:val="000000"/>
          <w:sz w:val="28"/>
          <w:szCs w:val="28"/>
          <w:lang w:val="fr-CA" w:eastAsia="fr-CA"/>
        </w:rPr>
        <w:tab/>
        <w:t>Jocelyn Côté</w:t>
      </w:r>
    </w:p>
    <w:p w14:paraId="11550CA9" w14:textId="77777777" w:rsidR="0090167C" w:rsidRDefault="00FE79D2" w:rsidP="00FE79D2">
      <w:r w:rsidRPr="00FE79D2">
        <w:rPr>
          <w:rFonts w:ascii="Calibri" w:eastAsia="Times New Roman" w:hAnsi="Calibri" w:cs="Calibri"/>
          <w:b/>
          <w:bCs/>
          <w:color w:val="000000"/>
          <w:sz w:val="28"/>
          <w:szCs w:val="28"/>
          <w:lang w:val="fr-CA" w:eastAsia="fr-CA"/>
        </w:rPr>
        <w:t>Président</w:t>
      </w:r>
      <w:r w:rsidRPr="00FE79D2">
        <w:rPr>
          <w:rFonts w:ascii="Calibri" w:eastAsia="Times New Roman" w:hAnsi="Calibri" w:cs="Calibri"/>
          <w:b/>
          <w:bCs/>
          <w:color w:val="000000"/>
          <w:sz w:val="28"/>
          <w:szCs w:val="28"/>
          <w:lang w:val="fr-CA" w:eastAsia="fr-CA"/>
        </w:rPr>
        <w:tab/>
      </w:r>
      <w:r w:rsidRPr="00FE79D2">
        <w:rPr>
          <w:rFonts w:ascii="Calibri" w:eastAsia="Times New Roman" w:hAnsi="Calibri" w:cs="Calibri"/>
          <w:b/>
          <w:bCs/>
          <w:color w:val="000000"/>
          <w:sz w:val="28"/>
          <w:szCs w:val="28"/>
          <w:lang w:val="fr-CA" w:eastAsia="fr-CA"/>
        </w:rPr>
        <w:tab/>
      </w:r>
      <w:r w:rsidRPr="00FE79D2">
        <w:rPr>
          <w:rFonts w:ascii="Calibri" w:eastAsia="Times New Roman" w:hAnsi="Calibri" w:cs="Calibri"/>
          <w:b/>
          <w:bCs/>
          <w:color w:val="000000"/>
          <w:sz w:val="28"/>
          <w:szCs w:val="28"/>
          <w:lang w:val="fr-CA" w:eastAsia="fr-CA"/>
        </w:rPr>
        <w:tab/>
      </w:r>
      <w:r w:rsidRPr="00FE79D2">
        <w:rPr>
          <w:rFonts w:ascii="Calibri" w:eastAsia="Times New Roman" w:hAnsi="Calibri" w:cs="Calibri"/>
          <w:b/>
          <w:bCs/>
          <w:color w:val="000000"/>
          <w:sz w:val="28"/>
          <w:szCs w:val="28"/>
          <w:lang w:val="fr-CA" w:eastAsia="fr-CA"/>
        </w:rPr>
        <w:tab/>
      </w:r>
      <w:r w:rsidRPr="00FE79D2">
        <w:rPr>
          <w:rFonts w:ascii="Calibri" w:eastAsia="Times New Roman" w:hAnsi="Calibri" w:cs="Calibri"/>
          <w:b/>
          <w:bCs/>
          <w:color w:val="000000"/>
          <w:sz w:val="28"/>
          <w:szCs w:val="28"/>
          <w:lang w:val="fr-CA" w:eastAsia="fr-CA"/>
        </w:rPr>
        <w:tab/>
      </w:r>
      <w:r w:rsidRPr="00FE79D2">
        <w:rPr>
          <w:rFonts w:ascii="Calibri" w:eastAsia="Times New Roman" w:hAnsi="Calibri" w:cs="Calibri"/>
          <w:b/>
          <w:bCs/>
          <w:color w:val="000000"/>
          <w:sz w:val="28"/>
          <w:szCs w:val="28"/>
          <w:lang w:val="fr-CA" w:eastAsia="fr-CA"/>
        </w:rPr>
        <w:tab/>
      </w:r>
      <w:r w:rsidRPr="00FE79D2">
        <w:rPr>
          <w:rFonts w:ascii="Calibri" w:eastAsia="Times New Roman" w:hAnsi="Calibri" w:cs="Calibri"/>
          <w:b/>
          <w:bCs/>
          <w:color w:val="000000"/>
          <w:sz w:val="28"/>
          <w:szCs w:val="28"/>
          <w:lang w:val="fr-CA" w:eastAsia="fr-CA"/>
        </w:rPr>
        <w:tab/>
        <w:t>Directeur</w:t>
      </w:r>
      <w:bookmarkStart w:id="0" w:name="_GoBack"/>
      <w:bookmarkEnd w:id="0"/>
    </w:p>
    <w:sectPr w:rsidR="009016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C3680"/>
    <w:multiLevelType w:val="multilevel"/>
    <w:tmpl w:val="2C06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5B6B"/>
    <w:multiLevelType w:val="multilevel"/>
    <w:tmpl w:val="D952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066860"/>
    <w:multiLevelType w:val="multilevel"/>
    <w:tmpl w:val="E634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9D2"/>
    <w:rsid w:val="0090167C"/>
    <w:rsid w:val="00FE79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C9D3C"/>
  <w15:chartTrackingRefBased/>
  <w15:docId w15:val="{CFDFC674-47DB-4105-8317-A4052561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35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6F9EE9D2DF1B43AB00CE09AC704F8E" ma:contentTypeVersion="14" ma:contentTypeDescription="Crée un document." ma:contentTypeScope="" ma:versionID="32082a6e535474d372c4f6b6bedcb573">
  <xsd:schema xmlns:xsd="http://www.w3.org/2001/XMLSchema" xmlns:xs="http://www.w3.org/2001/XMLSchema" xmlns:p="http://schemas.microsoft.com/office/2006/metadata/properties" xmlns:ns3="8a3a1ac0-c895-4b91-8ca6-6dd509ff558e" xmlns:ns4="545c936d-fc9c-489e-8e29-1a31614c1cf9" targetNamespace="http://schemas.microsoft.com/office/2006/metadata/properties" ma:root="true" ma:fieldsID="f08ceeaca7754b5097a02433da3b2730" ns3:_="" ns4:_="">
    <xsd:import namespace="8a3a1ac0-c895-4b91-8ca6-6dd509ff558e"/>
    <xsd:import namespace="545c936d-fc9c-489e-8e29-1a31614c1c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LengthInSeconds"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a1ac0-c895-4b91-8ca6-6dd509ff55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5c936d-fc9c-489e-8e29-1a31614c1cf9"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SharingHintHash" ma:index="21"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4740AD-6177-430E-9DD1-B67D28249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a1ac0-c895-4b91-8ca6-6dd509ff558e"/>
    <ds:schemaRef ds:uri="545c936d-fc9c-489e-8e29-1a31614c1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49AD8-D0B9-4E7E-B742-56A1675DA050}">
  <ds:schemaRefs>
    <ds:schemaRef ds:uri="http://schemas.microsoft.com/sharepoint/v3/contenttype/forms"/>
  </ds:schemaRefs>
</ds:datastoreItem>
</file>

<file path=customXml/itemProps3.xml><?xml version="1.0" encoding="utf-8"?>
<ds:datastoreItem xmlns:ds="http://schemas.openxmlformats.org/officeDocument/2006/customXml" ds:itemID="{195EFC59-1366-4FB1-9501-9DEF52573A6B}">
  <ds:schemaRefs>
    <ds:schemaRef ds:uri="http://purl.org/dc/terms/"/>
    <ds:schemaRef ds:uri="http://schemas.microsoft.com/office/2006/documentManagement/types"/>
    <ds:schemaRef ds:uri="545c936d-fc9c-489e-8e29-1a31614c1cf9"/>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a3a1ac0-c895-4b91-8ca6-6dd509ff558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1774</Words>
  <Characters>9761</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Commission Scolaire De Montréal</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Côté Jocelyn</dc:creator>
  <cp:keywords/>
  <dc:description/>
  <cp:lastModifiedBy>Côté Jocelyn</cp:lastModifiedBy>
  <cp:revision>1</cp:revision>
  <dcterms:created xsi:type="dcterms:W3CDTF">2023-02-21T13:09:00Z</dcterms:created>
  <dcterms:modified xsi:type="dcterms:W3CDTF">2023-02-21T13:10:00Z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0x010100C86F9EE9D2DF1B43AB00CE09AC704F8E</vt:lpwstr>
  </property>
</Properties>
</file>